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C7B" w14:textId="1AD77B8B" w:rsidR="00830EBC" w:rsidRPr="00B535FE" w:rsidRDefault="00830EBC" w:rsidP="006E3D16">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sidRPr="00B535FE">
        <w:rPr>
          <w:rFonts w:cs="Times New Roman"/>
          <w:i/>
          <w:bdr w:val="none" w:sz="0" w:space="0" w:color="auto"/>
          <w:lang w:val="it-IT"/>
        </w:rPr>
        <w:t xml:space="preserve">Comunicato stampa n. </w:t>
      </w:r>
      <w:r w:rsidR="00C37925">
        <w:rPr>
          <w:rFonts w:cs="Times New Roman"/>
          <w:i/>
          <w:bdr w:val="none" w:sz="0" w:space="0" w:color="auto"/>
          <w:lang w:val="it-IT"/>
        </w:rPr>
        <w:t>1</w:t>
      </w:r>
      <w:r w:rsidR="00E95EA3">
        <w:rPr>
          <w:rFonts w:cs="Times New Roman"/>
          <w:i/>
          <w:bdr w:val="none" w:sz="0" w:space="0" w:color="auto"/>
          <w:lang w:val="it-IT"/>
        </w:rPr>
        <w:t>/202</w:t>
      </w:r>
      <w:r w:rsidR="00C37925">
        <w:rPr>
          <w:rFonts w:cs="Times New Roman"/>
          <w:i/>
          <w:bdr w:val="none" w:sz="0" w:space="0" w:color="auto"/>
          <w:lang w:val="it-IT"/>
        </w:rPr>
        <w:t>2</w:t>
      </w:r>
    </w:p>
    <w:p w14:paraId="087FA726" w14:textId="77777777" w:rsidR="00830EBC" w:rsidRPr="00B535FE" w:rsidRDefault="00830EBC" w:rsidP="006E3D16">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p>
    <w:p w14:paraId="67027316" w14:textId="341503C8" w:rsidR="006E3D16" w:rsidRDefault="006E3D16" w:rsidP="006E3D16">
      <w:pPr>
        <w:ind w:left="-142"/>
        <w:jc w:val="both"/>
        <w:rPr>
          <w:rFonts w:cs="Times New Roman"/>
          <w:b/>
          <w:bCs/>
          <w:sz w:val="28"/>
          <w:szCs w:val="28"/>
        </w:rPr>
      </w:pPr>
      <w:r w:rsidRPr="002111D6">
        <w:rPr>
          <w:rFonts w:cs="Times New Roman"/>
          <w:b/>
          <w:bCs/>
          <w:sz w:val="28"/>
          <w:szCs w:val="28"/>
        </w:rPr>
        <w:t>EIMA 2022, un’esperienza globale</w:t>
      </w:r>
    </w:p>
    <w:p w14:paraId="253ED172" w14:textId="77777777" w:rsidR="006E3D16" w:rsidRPr="002111D6" w:rsidRDefault="006E3D16" w:rsidP="006E3D16">
      <w:pPr>
        <w:ind w:left="-142"/>
        <w:jc w:val="both"/>
        <w:rPr>
          <w:rFonts w:cs="Times New Roman"/>
          <w:b/>
          <w:bCs/>
          <w:sz w:val="28"/>
          <w:szCs w:val="28"/>
        </w:rPr>
      </w:pPr>
    </w:p>
    <w:p w14:paraId="6405F200" w14:textId="5B55EF24" w:rsidR="006E3D16" w:rsidRDefault="006E3D16" w:rsidP="006E3D16">
      <w:pPr>
        <w:ind w:left="-142"/>
        <w:jc w:val="both"/>
        <w:rPr>
          <w:rFonts w:cs="Times New Roman"/>
          <w:b/>
          <w:bCs/>
          <w:i/>
          <w:iCs/>
        </w:rPr>
      </w:pPr>
      <w:r w:rsidRPr="002111D6">
        <w:rPr>
          <w:rFonts w:cs="Times New Roman"/>
          <w:b/>
          <w:bCs/>
          <w:i/>
          <w:iCs/>
        </w:rPr>
        <w:t>Presentata a Verona</w:t>
      </w:r>
      <w:r w:rsidR="007751D3">
        <w:rPr>
          <w:rFonts w:cs="Times New Roman"/>
          <w:b/>
          <w:bCs/>
          <w:i/>
          <w:iCs/>
        </w:rPr>
        <w:t xml:space="preserve"> l’</w:t>
      </w:r>
      <w:r w:rsidRPr="002111D6">
        <w:rPr>
          <w:rFonts w:cs="Times New Roman"/>
          <w:b/>
          <w:bCs/>
          <w:i/>
          <w:iCs/>
        </w:rPr>
        <w:t>edizione numero 45 della rassegna internazionale della meccanica agricola. Riscontri molto positivi in termini di prenotazioni e richiesta di area espositiva. Molto intensa l’attività promozionale all’estero e numerose le novità, dalle aree divulgative per il Digital</w:t>
      </w:r>
      <w:r w:rsidR="007751D3">
        <w:rPr>
          <w:rFonts w:cs="Times New Roman"/>
          <w:b/>
          <w:bCs/>
          <w:i/>
          <w:iCs/>
        </w:rPr>
        <w:t xml:space="preserve"> a</w:t>
      </w:r>
      <w:r w:rsidRPr="002111D6">
        <w:rPr>
          <w:rFonts w:cs="Times New Roman"/>
          <w:b/>
          <w:bCs/>
          <w:i/>
          <w:iCs/>
        </w:rPr>
        <w:t xml:space="preserve">lle prove in campo delle macchine per il giardinaggio. Innovazione sempre in primo piano, con una giornata pre-EIMA interamente dedicata alla presentazione e premiazione del Concorso Novità </w:t>
      </w:r>
      <w:r w:rsidR="007751D3">
        <w:rPr>
          <w:rFonts w:cs="Times New Roman"/>
          <w:b/>
          <w:bCs/>
          <w:i/>
          <w:iCs/>
        </w:rPr>
        <w:t>T</w:t>
      </w:r>
      <w:r w:rsidRPr="002111D6">
        <w:rPr>
          <w:rFonts w:cs="Times New Roman"/>
          <w:b/>
          <w:bCs/>
          <w:i/>
          <w:iCs/>
        </w:rPr>
        <w:t>ecniche.</w:t>
      </w:r>
    </w:p>
    <w:p w14:paraId="7112DDAF" w14:textId="77777777" w:rsidR="006E3D16" w:rsidRPr="002111D6" w:rsidRDefault="006E3D16" w:rsidP="006E3D16">
      <w:pPr>
        <w:ind w:left="-142"/>
        <w:jc w:val="both"/>
        <w:rPr>
          <w:rFonts w:cs="Times New Roman"/>
          <w:b/>
          <w:bCs/>
          <w:i/>
          <w:iCs/>
        </w:rPr>
      </w:pPr>
    </w:p>
    <w:p w14:paraId="217F988F" w14:textId="04E59F43" w:rsidR="007751D3" w:rsidRDefault="006E3D16" w:rsidP="006E3D16">
      <w:pPr>
        <w:ind w:left="-142"/>
        <w:jc w:val="both"/>
        <w:rPr>
          <w:rFonts w:cs="Times New Roman"/>
        </w:rPr>
      </w:pPr>
      <w:r w:rsidRPr="00A81BBA">
        <w:rPr>
          <w:rFonts w:cs="Times New Roman"/>
        </w:rPr>
        <w:t>Dopo il successo dell’edizione 2021 EIMA International torna subito in pista per l’edizione 2022, in programma a Bologna dal 9 al 13 novembre. L’edizione di quest’anno, la 45ma nella storia della rassegna internazionale della meccanica agricola, riporta la fiera nella sua abituale collocazione, a novembre degli anni pari, segnando il ripristino della cadenza biennale che proseguirà con l’edizione 2024. Alte le aspettative per questo evento, che è stato presentato nel pomeriggio di oggi alla Fieragricola di Verona da FederUnacoma, l’associazione dei costruttori di macchine agricole</w:t>
      </w:r>
      <w:r>
        <w:rPr>
          <w:rFonts w:cs="Times New Roman"/>
        </w:rPr>
        <w:t xml:space="preserve">, </w:t>
      </w:r>
      <w:r w:rsidRPr="00A81BBA">
        <w:rPr>
          <w:rFonts w:cs="Times New Roman"/>
        </w:rPr>
        <w:t>organizzatrice diretta d</w:t>
      </w:r>
      <w:r>
        <w:rPr>
          <w:rFonts w:cs="Times New Roman"/>
        </w:rPr>
        <w:t xml:space="preserve">i questa rassegna </w:t>
      </w:r>
      <w:r w:rsidRPr="00A81BBA">
        <w:rPr>
          <w:rFonts w:cs="Times New Roman"/>
        </w:rPr>
        <w:t xml:space="preserve">che si colloca ai primi posti al mondo per numero di espositori, numero di visitatori, livello di internazionalità e qualità delle tecnologie esposte. </w:t>
      </w:r>
      <w:r w:rsidR="001E6873">
        <w:rPr>
          <w:rFonts w:cs="Times New Roman"/>
        </w:rPr>
        <w:t xml:space="preserve">Ad  oggi </w:t>
      </w:r>
      <w:r w:rsidRPr="00A81BBA">
        <w:rPr>
          <w:rFonts w:cs="Times New Roman"/>
        </w:rPr>
        <w:t xml:space="preserve"> </w:t>
      </w:r>
      <w:r w:rsidR="001E6873">
        <w:rPr>
          <w:rFonts w:cs="Times New Roman"/>
        </w:rPr>
        <w:t xml:space="preserve"> </w:t>
      </w:r>
      <w:r w:rsidRPr="00A81BBA">
        <w:rPr>
          <w:rFonts w:cs="Times New Roman"/>
        </w:rPr>
        <w:t xml:space="preserve"> sono 835 le industrie costruttrici che hanno già formalizzato la domanda di partecipazione (585 italiane e 250 estere), con una richiesta di superficie che ha già raggiunto </w:t>
      </w:r>
      <w:r w:rsidR="00856B13">
        <w:rPr>
          <w:rFonts w:cs="Times New Roman"/>
        </w:rPr>
        <w:t>gl</w:t>
      </w:r>
      <w:r w:rsidRPr="00A81BBA">
        <w:rPr>
          <w:rFonts w:cs="Times New Roman"/>
        </w:rPr>
        <w:t xml:space="preserve">i </w:t>
      </w:r>
      <w:r w:rsidR="00856B13">
        <w:rPr>
          <w:rFonts w:cs="Times New Roman"/>
        </w:rPr>
        <w:t>80</w:t>
      </w:r>
      <w:r w:rsidRPr="00A81BBA">
        <w:rPr>
          <w:rFonts w:cs="Times New Roman"/>
        </w:rPr>
        <w:t xml:space="preserve"> mila metri quadrati. Un dato di partenza brillante – ha spiegato in conferenza il Direttore Generale di FederUnacoma Simona Rapastella – che fa prevedere un numero finale di espositori </w:t>
      </w:r>
      <w:r w:rsidR="00430FFB">
        <w:rPr>
          <w:rFonts w:cs="Times New Roman"/>
        </w:rPr>
        <w:t xml:space="preserve">e una superficie impegnata in linea con i risultati registrati nelle edizioni EIMA pre-pandemia.  </w:t>
      </w:r>
      <w:r>
        <w:rPr>
          <w:rFonts w:cs="Times New Roman"/>
        </w:rPr>
        <w:t>“</w:t>
      </w:r>
      <w:r w:rsidRPr="00A81BBA">
        <w:rPr>
          <w:rFonts w:cs="Times New Roman"/>
        </w:rPr>
        <w:t>Mai come in questi ultimi anni</w:t>
      </w:r>
      <w:r>
        <w:rPr>
          <w:rFonts w:cs="Times New Roman"/>
        </w:rPr>
        <w:t>,</w:t>
      </w:r>
      <w:r w:rsidRPr="00A81BBA">
        <w:rPr>
          <w:rFonts w:cs="Times New Roman"/>
        </w:rPr>
        <w:t xml:space="preserve"> condizionati dall</w:t>
      </w:r>
      <w:r w:rsidR="00430FFB">
        <w:rPr>
          <w:rFonts w:cs="Times New Roman"/>
        </w:rPr>
        <w:t xml:space="preserve">a situazione sanitaria </w:t>
      </w:r>
      <w:r w:rsidRPr="00A81BBA">
        <w:rPr>
          <w:rFonts w:cs="Times New Roman"/>
        </w:rPr>
        <w:t xml:space="preserve"> e dalle limitazioni imposte agli eventi pubblici - ha ricordato Rapastella - il settore fieristico si è interrogato sul proprio futuro</w:t>
      </w:r>
      <w:r>
        <w:rPr>
          <w:rFonts w:cs="Times New Roman"/>
        </w:rPr>
        <w:t xml:space="preserve"> e</w:t>
      </w:r>
      <w:r w:rsidRPr="00A81BBA">
        <w:rPr>
          <w:rFonts w:cs="Times New Roman"/>
        </w:rPr>
        <w:t xml:space="preserve"> sulla possibilità che espositori e visitatori abbiano maturato nuove esigenze e nuove aspettative, e per questo abbiamo sottoposto EIMA ad un monitoraggio capillare, cercando di evidenziare i suoi punti di forza e le possibili criticità</w:t>
      </w:r>
      <w:r>
        <w:rPr>
          <w:rFonts w:cs="Times New Roman"/>
        </w:rPr>
        <w:t>”</w:t>
      </w:r>
      <w:r w:rsidRPr="00A81BBA">
        <w:rPr>
          <w:rFonts w:cs="Times New Roman"/>
        </w:rPr>
        <w:t xml:space="preserve">. I dati del monitoraggio FederUnacoma, combinati con quelli di società specializzate come GRS o di enti ufficiali come l’Unione fiere internazionali UFI, confermano una tendenza alla riduzione delle partecipazioni fieristiche a vantaggio di pochi eventi che hanno un forte carattere internazionale e che fanno da catalizzatori per il settore. Le indagini sul campo evidenziano anche un’aspettativa crescente per quanto riguarda il livello dei servizi soprattutto per gli operatori che vedono nella fiera un luogo specifico per le relazioni d’affari. </w:t>
      </w:r>
      <w:r>
        <w:rPr>
          <w:rFonts w:cs="Times New Roman"/>
        </w:rPr>
        <w:t>“</w:t>
      </w:r>
      <w:r w:rsidRPr="00A81BBA">
        <w:rPr>
          <w:rFonts w:cs="Times New Roman"/>
        </w:rPr>
        <w:t xml:space="preserve">Sono elementi già peculiari di EIMA International – ha osservato Rapastella – che abbiamo cercato di rafforzare con la conferma del vasto programma </w:t>
      </w:r>
      <w:r>
        <w:rPr>
          <w:rFonts w:cs="Times New Roman"/>
        </w:rPr>
        <w:t>‘</w:t>
      </w:r>
      <w:r w:rsidRPr="00A81BBA">
        <w:rPr>
          <w:rFonts w:cs="Times New Roman"/>
        </w:rPr>
        <w:t>business-to-business</w:t>
      </w:r>
      <w:r>
        <w:rPr>
          <w:rFonts w:cs="Times New Roman"/>
        </w:rPr>
        <w:t>’</w:t>
      </w:r>
      <w:r w:rsidRPr="00A81BBA">
        <w:rPr>
          <w:rFonts w:cs="Times New Roman"/>
        </w:rPr>
        <w:t xml:space="preserve"> per le delegazioni estere organizzato in collaborazione con l’ICE</w:t>
      </w:r>
      <w:r w:rsidR="00430FFB">
        <w:rPr>
          <w:rFonts w:cs="Times New Roman"/>
        </w:rPr>
        <w:t xml:space="preserve">, </w:t>
      </w:r>
      <w:r w:rsidRPr="00A81BBA">
        <w:rPr>
          <w:rFonts w:cs="Times New Roman"/>
        </w:rPr>
        <w:t xml:space="preserve">con il programma di incoming denominato </w:t>
      </w:r>
      <w:r>
        <w:rPr>
          <w:rFonts w:cs="Times New Roman"/>
        </w:rPr>
        <w:t>‘</w:t>
      </w:r>
      <w:r w:rsidRPr="00A81BBA">
        <w:rPr>
          <w:rFonts w:cs="Times New Roman"/>
        </w:rPr>
        <w:t>Special Guest</w:t>
      </w:r>
      <w:r>
        <w:rPr>
          <w:rFonts w:cs="Times New Roman"/>
        </w:rPr>
        <w:t>’</w:t>
      </w:r>
      <w:r w:rsidRPr="00A81BBA">
        <w:rPr>
          <w:rFonts w:cs="Times New Roman"/>
        </w:rPr>
        <w:t xml:space="preserve"> che prevede facilitazioni e benefit per gli operatori economici esteri, e con una speciale iniziativa che coinvolge la rete diplomatica</w:t>
      </w:r>
      <w:r>
        <w:rPr>
          <w:rFonts w:cs="Times New Roman"/>
        </w:rPr>
        <w:t>”</w:t>
      </w:r>
      <w:r w:rsidRPr="00A81BBA">
        <w:rPr>
          <w:rFonts w:cs="Times New Roman"/>
        </w:rPr>
        <w:t xml:space="preserve">. </w:t>
      </w:r>
    </w:p>
    <w:p w14:paraId="72A99B6B" w14:textId="77777777" w:rsidR="007751D3" w:rsidRDefault="007751D3" w:rsidP="006E3D16">
      <w:pPr>
        <w:ind w:left="-142"/>
        <w:jc w:val="both"/>
        <w:rPr>
          <w:rFonts w:cs="Times New Roman"/>
        </w:rPr>
      </w:pPr>
    </w:p>
    <w:p w14:paraId="25D6B64F" w14:textId="77777777" w:rsidR="007751D3" w:rsidRDefault="007751D3" w:rsidP="006E3D16">
      <w:pPr>
        <w:ind w:left="-142"/>
        <w:jc w:val="both"/>
        <w:rPr>
          <w:rFonts w:cs="Times New Roman"/>
        </w:rPr>
      </w:pPr>
    </w:p>
    <w:p w14:paraId="1E4C76EA" w14:textId="77777777" w:rsidR="007751D3" w:rsidRDefault="007751D3" w:rsidP="006E3D16">
      <w:pPr>
        <w:ind w:left="-142"/>
        <w:jc w:val="both"/>
        <w:rPr>
          <w:rFonts w:cs="Times New Roman"/>
        </w:rPr>
      </w:pPr>
    </w:p>
    <w:p w14:paraId="5C86E063" w14:textId="77777777" w:rsidR="007751D3" w:rsidRDefault="007751D3" w:rsidP="006E3D16">
      <w:pPr>
        <w:ind w:left="-142"/>
        <w:jc w:val="both"/>
        <w:rPr>
          <w:rFonts w:cs="Times New Roman"/>
        </w:rPr>
      </w:pPr>
    </w:p>
    <w:p w14:paraId="6A3D9AB6" w14:textId="77777777" w:rsidR="007751D3" w:rsidRDefault="007751D3" w:rsidP="006E3D16">
      <w:pPr>
        <w:ind w:left="-142"/>
        <w:jc w:val="both"/>
        <w:rPr>
          <w:rFonts w:cs="Times New Roman"/>
        </w:rPr>
      </w:pPr>
    </w:p>
    <w:p w14:paraId="3C5CC86A" w14:textId="77777777" w:rsidR="007751D3" w:rsidRDefault="007751D3" w:rsidP="006E3D16">
      <w:pPr>
        <w:ind w:left="-142"/>
        <w:jc w:val="both"/>
        <w:rPr>
          <w:rFonts w:cs="Times New Roman"/>
        </w:rPr>
      </w:pPr>
    </w:p>
    <w:p w14:paraId="5172A45A" w14:textId="77777777" w:rsidR="007751D3" w:rsidRDefault="007751D3" w:rsidP="006E3D16">
      <w:pPr>
        <w:ind w:left="-142"/>
        <w:jc w:val="both"/>
        <w:rPr>
          <w:rFonts w:cs="Times New Roman"/>
        </w:rPr>
      </w:pPr>
    </w:p>
    <w:p w14:paraId="5172FA13" w14:textId="77777777" w:rsidR="007751D3" w:rsidRDefault="007751D3" w:rsidP="006E3D16">
      <w:pPr>
        <w:ind w:left="-142"/>
        <w:jc w:val="both"/>
        <w:rPr>
          <w:rFonts w:cs="Times New Roman"/>
        </w:rPr>
      </w:pPr>
    </w:p>
    <w:p w14:paraId="21B3AC98" w14:textId="77777777" w:rsidR="007751D3" w:rsidRDefault="007751D3" w:rsidP="006E3D16">
      <w:pPr>
        <w:ind w:left="-142"/>
        <w:jc w:val="both"/>
        <w:rPr>
          <w:rFonts w:cs="Times New Roman"/>
        </w:rPr>
      </w:pPr>
    </w:p>
    <w:p w14:paraId="5321D020" w14:textId="0692F7CF" w:rsidR="006E3D16" w:rsidRPr="00A81BBA" w:rsidRDefault="006E3D16" w:rsidP="006E3D16">
      <w:pPr>
        <w:ind w:left="-142"/>
        <w:jc w:val="both"/>
        <w:rPr>
          <w:rFonts w:cs="Times New Roman"/>
        </w:rPr>
      </w:pPr>
      <w:r w:rsidRPr="00A81BBA">
        <w:rPr>
          <w:rFonts w:cs="Times New Roman"/>
        </w:rPr>
        <w:lastRenderedPageBreak/>
        <w:t>Altro punto di forza degli eventi fieristici è la qualità delle innovazioni tecnologiche presentate, un aspetto che verrà ulteriormente rafforzato con iniziative legate al Salone “Digital”</w:t>
      </w:r>
      <w:r>
        <w:rPr>
          <w:rFonts w:cs="Times New Roman"/>
        </w:rPr>
        <w:t>,</w:t>
      </w:r>
      <w:r w:rsidRPr="00A81BBA">
        <w:rPr>
          <w:rFonts w:cs="Times New Roman"/>
        </w:rPr>
        <w:t xml:space="preserve"> come il Percorso 4.0 e l’iniziativa EIMA Robot, </w:t>
      </w:r>
      <w:r>
        <w:rPr>
          <w:rFonts w:cs="Times New Roman"/>
        </w:rPr>
        <w:t xml:space="preserve">ma </w:t>
      </w:r>
      <w:r w:rsidRPr="00A81BBA">
        <w:rPr>
          <w:rFonts w:cs="Times New Roman"/>
        </w:rPr>
        <w:t xml:space="preserve">prima di tutto con il Concorso Novità Tecniche, quest’anno rinnovato nei criteri e valorizzato con un evento pre-EIMA esclusivamente dedicato. </w:t>
      </w:r>
      <w:r>
        <w:rPr>
          <w:rFonts w:cs="Times New Roman"/>
        </w:rPr>
        <w:t>L</w:t>
      </w:r>
      <w:r w:rsidRPr="00A81BBA">
        <w:rPr>
          <w:rFonts w:cs="Times New Roman"/>
        </w:rPr>
        <w:t xml:space="preserve">e novità tecniche avranno </w:t>
      </w:r>
      <w:r>
        <w:rPr>
          <w:rFonts w:cs="Times New Roman"/>
        </w:rPr>
        <w:t xml:space="preserve">infatti </w:t>
      </w:r>
      <w:r w:rsidRPr="00A81BBA">
        <w:rPr>
          <w:rFonts w:cs="Times New Roman"/>
        </w:rPr>
        <w:t xml:space="preserve">nuovo impulso con un evento di preview aperto a tutta la stampa nazionale ed internazionale, che </w:t>
      </w:r>
      <w:r>
        <w:rPr>
          <w:rFonts w:cs="Times New Roman"/>
        </w:rPr>
        <w:t>verrà realizzato a</w:t>
      </w:r>
      <w:r w:rsidRPr="00A81BBA">
        <w:rPr>
          <w:rFonts w:cs="Times New Roman"/>
        </w:rPr>
        <w:t xml:space="preserve">lla fine di settembre e che vedrà la possibilità di spiegazioni tecniche dettagliate, riprese video e supporti multimediali. Sempre per valorizzare e divulgare le innovazioni, viene confermata l’area show esterna per i trattori, dove sarà possibile vedere in movimento le tecnologie più innovative. Ma quella dei trattori non sarà l’unica area show di questa edizione </w:t>
      </w:r>
      <w:r w:rsidR="007751D3">
        <w:rPr>
          <w:rFonts w:cs="Times New Roman"/>
        </w:rPr>
        <w:t>-</w:t>
      </w:r>
      <w:r>
        <w:rPr>
          <w:rFonts w:cs="Times New Roman"/>
        </w:rPr>
        <w:t xml:space="preserve"> è stato spiegato nel corso della conferenza - </w:t>
      </w:r>
      <w:r w:rsidRPr="00A81BBA">
        <w:rPr>
          <w:rFonts w:cs="Times New Roman"/>
        </w:rPr>
        <w:t xml:space="preserve">perché insieme alla mostra dinamica delle macchine per le filiere bioenergetiche è prevista la nuova iniziativa </w:t>
      </w:r>
      <w:r>
        <w:rPr>
          <w:rFonts w:cs="Times New Roman"/>
        </w:rPr>
        <w:t>“garden”</w:t>
      </w:r>
      <w:r w:rsidRPr="00A81BBA">
        <w:rPr>
          <w:rFonts w:cs="Times New Roman"/>
        </w:rPr>
        <w:t xml:space="preserve">, che consentirà di vedere in azione mezzi e attrezzature per la cura di giardini e aree verdi rivolti sia ai manutentori professionisti sia al pubblico degli hobbisti e appassionati. Ancora più ricca </w:t>
      </w:r>
      <w:r>
        <w:rPr>
          <w:rFonts w:cs="Times New Roman"/>
        </w:rPr>
        <w:t xml:space="preserve">che nel passato </w:t>
      </w:r>
      <w:r w:rsidRPr="00A81BBA">
        <w:rPr>
          <w:rFonts w:cs="Times New Roman"/>
        </w:rPr>
        <w:t>si annuncia l’area “Campus” riservata alle Università e agli enti di ricerca, mentre molto completo s</w:t>
      </w:r>
      <w:r>
        <w:rPr>
          <w:rFonts w:cs="Times New Roman"/>
        </w:rPr>
        <w:t xml:space="preserve">i annuncia </w:t>
      </w:r>
      <w:r w:rsidRPr="00A81BBA">
        <w:rPr>
          <w:rFonts w:cs="Times New Roman"/>
        </w:rPr>
        <w:t xml:space="preserve">il programma dei convegni soprattutto su tematiche di stretta attualità come la transizione ecologica e digitale, l’economia verde, la sicurezza, la prevenzione dei rischi geologici. Il quartiere fieristico di Bologna sarà rinnovato nella segnaletica e nei servizi, e i padiglioni riservati ai Saloni specializzati (Componenti, Digital, Green, Energy e Idrotech) saranno caratterizzati con elementi scenografici che richiamano le diverse aree merceologiche. </w:t>
      </w:r>
      <w:r>
        <w:rPr>
          <w:rFonts w:cs="Times New Roman"/>
        </w:rPr>
        <w:t>“</w:t>
      </w:r>
      <w:r w:rsidRPr="00A81BBA">
        <w:rPr>
          <w:rFonts w:cs="Times New Roman"/>
        </w:rPr>
        <w:t>EIMA 2022 offrirà dunque un colpo d’occhio inedito</w:t>
      </w:r>
      <w:r>
        <w:rPr>
          <w:rFonts w:cs="Times New Roman"/>
        </w:rPr>
        <w:t xml:space="preserve"> </w:t>
      </w:r>
      <w:r w:rsidR="007751D3">
        <w:rPr>
          <w:rFonts w:cs="Times New Roman"/>
        </w:rPr>
        <w:t>-</w:t>
      </w:r>
      <w:r>
        <w:rPr>
          <w:rFonts w:cs="Times New Roman"/>
        </w:rPr>
        <w:t xml:space="preserve"> ha concluso Rapastella - </w:t>
      </w:r>
      <w:r w:rsidRPr="00A81BBA">
        <w:rPr>
          <w:rFonts w:cs="Times New Roman"/>
        </w:rPr>
        <w:t>sarà un “paesaggio” familiare</w:t>
      </w:r>
      <w:r>
        <w:rPr>
          <w:rFonts w:cs="Times New Roman"/>
        </w:rPr>
        <w:t>,</w:t>
      </w:r>
      <w:r w:rsidRPr="00A81BBA">
        <w:rPr>
          <w:rFonts w:cs="Times New Roman"/>
        </w:rPr>
        <w:t xml:space="preserve"> ma insieme sorprendente.</w:t>
      </w:r>
    </w:p>
    <w:p w14:paraId="53C68EEC" w14:textId="0365DF7C" w:rsidR="00E95EA3" w:rsidRDefault="00E95EA3" w:rsidP="006E3D16">
      <w:pPr>
        <w:ind w:left="-142"/>
        <w:jc w:val="both"/>
        <w:rPr>
          <w:rFonts w:cs="Times New Roman"/>
        </w:rPr>
      </w:pPr>
    </w:p>
    <w:p w14:paraId="763B532A" w14:textId="0D551265" w:rsidR="00E95EA3" w:rsidRPr="00E95EA3" w:rsidRDefault="00C37925" w:rsidP="006E3D16">
      <w:pPr>
        <w:ind w:left="-142"/>
        <w:jc w:val="both"/>
        <w:rPr>
          <w:rFonts w:eastAsia="Calibri" w:cs="Times New Roman"/>
          <w:b/>
          <w:bCs/>
          <w:lang w:val="it-IT" w:eastAsia="en-US"/>
        </w:rPr>
      </w:pPr>
      <w:r>
        <w:rPr>
          <w:rFonts w:cs="Times New Roman"/>
          <w:b/>
          <w:bCs/>
        </w:rPr>
        <w:t>Verona,</w:t>
      </w:r>
      <w:r w:rsidR="00E95EA3" w:rsidRPr="00E95EA3">
        <w:rPr>
          <w:rFonts w:cs="Times New Roman"/>
          <w:b/>
          <w:bCs/>
        </w:rPr>
        <w:t xml:space="preserve"> 2</w:t>
      </w:r>
      <w:r w:rsidR="00F52270">
        <w:rPr>
          <w:rFonts w:cs="Times New Roman"/>
          <w:b/>
          <w:bCs/>
        </w:rPr>
        <w:t xml:space="preserve"> </w:t>
      </w:r>
      <w:r>
        <w:rPr>
          <w:rFonts w:cs="Times New Roman"/>
          <w:b/>
          <w:bCs/>
        </w:rPr>
        <w:t>marz</w:t>
      </w:r>
      <w:r w:rsidR="00E95EA3" w:rsidRPr="00E95EA3">
        <w:rPr>
          <w:rFonts w:cs="Times New Roman"/>
          <w:b/>
          <w:bCs/>
        </w:rPr>
        <w:t>o 202</w:t>
      </w:r>
      <w:r>
        <w:rPr>
          <w:rFonts w:cs="Times New Roman"/>
          <w:b/>
          <w:bCs/>
        </w:rPr>
        <w:t>2</w:t>
      </w:r>
    </w:p>
    <w:sectPr w:rsidR="00E95EA3" w:rsidRPr="00E95EA3"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5BC7" w14:textId="77777777" w:rsidR="00A25511" w:rsidRDefault="00A25511">
      <w:r>
        <w:separator/>
      </w:r>
    </w:p>
  </w:endnote>
  <w:endnote w:type="continuationSeparator" w:id="0">
    <w:p w14:paraId="3C3EED6E" w14:textId="77777777" w:rsidR="00A25511" w:rsidRDefault="00A2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2392" w14:textId="77777777" w:rsidR="00A25511" w:rsidRDefault="00A25511">
      <w:r>
        <w:separator/>
      </w:r>
    </w:p>
  </w:footnote>
  <w:footnote w:type="continuationSeparator" w:id="0">
    <w:p w14:paraId="00105731" w14:textId="77777777" w:rsidR="00A25511" w:rsidRDefault="00A2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A25511">
    <w:pPr>
      <w:pStyle w:val="Intestazione"/>
      <w:tabs>
        <w:tab w:val="clear" w:pos="9638"/>
        <w:tab w:val="right" w:pos="7485"/>
      </w:tabs>
    </w:pPr>
    <w:sdt>
      <w:sdtPr>
        <w:id w:val="-1786807496"/>
        <w:docPartObj>
          <w:docPartGallery w:val="Page Numbers (Margins)"/>
          <w:docPartUnique/>
        </w:docPartObj>
      </w:sdtPr>
      <w:sdtEnd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2022-03-03T07:39:00Z</dcterms:created>
  <dcterms:modified xsi:type="dcterms:W3CDTF">2022-03-03T07:39:00Z</dcterms:modified>
</cp:coreProperties>
</file>