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B010" w14:textId="31302AD5" w:rsidR="00E445E5" w:rsidRDefault="002175C0" w:rsidP="00313630">
      <w:pPr>
        <w:ind w:left="1560"/>
        <w:jc w:val="both"/>
        <w:rPr>
          <w:i/>
          <w:sz w:val="25"/>
          <w:szCs w:val="25"/>
        </w:rPr>
      </w:pPr>
      <w:r>
        <w:rPr>
          <w:i/>
          <w:sz w:val="25"/>
        </w:rPr>
        <w:t xml:space="preserve">  Comunicado de prensa</w:t>
      </w:r>
    </w:p>
    <w:p w14:paraId="11D3CA08" w14:textId="77777777" w:rsidR="00A71D3E" w:rsidRPr="00B54ABB" w:rsidRDefault="00A71D3E" w:rsidP="00A71D3E">
      <w:pPr>
        <w:shd w:val="clear" w:color="auto" w:fill="FFFFFF"/>
        <w:ind w:left="1701"/>
        <w:jc w:val="both"/>
        <w:outlineLvl w:val="0"/>
        <w:rPr>
          <w:b/>
          <w:sz w:val="28"/>
          <w:szCs w:val="28"/>
        </w:rPr>
      </w:pPr>
      <w:r>
        <w:rPr>
          <w:b/>
          <w:sz w:val="28"/>
        </w:rPr>
        <w:t>Máquinas agrícolas: el mercado español cada vez más especializado</w:t>
      </w:r>
    </w:p>
    <w:p w14:paraId="04FA3D4C" w14:textId="77777777" w:rsidR="00A71D3E" w:rsidRPr="00B54ABB" w:rsidRDefault="00A71D3E" w:rsidP="00A71D3E">
      <w:pPr>
        <w:shd w:val="clear" w:color="auto" w:fill="FFFFFF"/>
        <w:ind w:left="1701"/>
        <w:jc w:val="both"/>
        <w:outlineLvl w:val="0"/>
        <w:rPr>
          <w:b/>
        </w:rPr>
      </w:pPr>
    </w:p>
    <w:p w14:paraId="0F0E3C6B" w14:textId="02386AD6" w:rsidR="00A71D3E" w:rsidRPr="00B54ABB" w:rsidRDefault="00A71D3E" w:rsidP="00A71D3E">
      <w:pPr>
        <w:shd w:val="clear" w:color="auto" w:fill="FFFFFF"/>
        <w:ind w:left="1701"/>
        <w:jc w:val="both"/>
        <w:outlineLvl w:val="0"/>
        <w:rPr>
          <w:b/>
          <w:i/>
          <w:iCs/>
        </w:rPr>
      </w:pPr>
      <w:r>
        <w:rPr>
          <w:b/>
          <w:i/>
        </w:rPr>
        <w:t>En el primer trimestre de 2022, la demanda de maquinaria agrícola en España se ha mantenido elevada, aunque con cifras inferiores con respecto a l</w:t>
      </w:r>
      <w:r w:rsidR="00BF0385">
        <w:rPr>
          <w:b/>
          <w:i/>
        </w:rPr>
        <w:t>a</w:t>
      </w:r>
      <w:r>
        <w:rPr>
          <w:b/>
          <w:i/>
        </w:rPr>
        <w:t xml:space="preserve">s del mismo periodo de 2021. Ha crecido el número de tractores especializados para viñedos y frutales que, en 2021, superó a los destinados al trabajo en campo abierto. Fuerte cooperación técnica y comercial entre España e Italia, que se verá reforzada todavía más con ocasión de EIMA Internacional, previsto para el próximo noviembre en Bolonia.  </w:t>
      </w:r>
    </w:p>
    <w:p w14:paraId="30308401" w14:textId="77777777" w:rsidR="00A71D3E" w:rsidRPr="00B54ABB" w:rsidRDefault="00A71D3E" w:rsidP="00A71D3E">
      <w:pPr>
        <w:shd w:val="clear" w:color="auto" w:fill="FFFFFF"/>
        <w:ind w:left="1701"/>
        <w:jc w:val="both"/>
        <w:outlineLvl w:val="0"/>
        <w:rPr>
          <w:bCs/>
        </w:rPr>
      </w:pPr>
    </w:p>
    <w:p w14:paraId="5044D781" w14:textId="77777777" w:rsidR="00A71D3E" w:rsidRPr="00313630" w:rsidRDefault="00A71D3E" w:rsidP="00A71D3E">
      <w:pPr>
        <w:shd w:val="clear" w:color="auto" w:fill="FFFFFF"/>
        <w:ind w:left="1701"/>
        <w:jc w:val="both"/>
        <w:outlineLvl w:val="0"/>
        <w:rPr>
          <w:bCs/>
          <w:sz w:val="23"/>
          <w:szCs w:val="23"/>
        </w:rPr>
      </w:pPr>
      <w:r>
        <w:rPr>
          <w:sz w:val="23"/>
        </w:rPr>
        <w:t>Tras los niveles de récord alcanzados en el primer trimestre de 2021 (+37 %), en el mismo trimestre de este año las ventas de tractores en España han caído ligeramente, aunque se mantienen en cifras elevadas. En efecto, los datos difundidos por la asociación de fabricantes españoles Ansemat indican, para los tres primeros meses de 2022, una contracción del 6,8 % correspondiente a 2.471 tractores vendidos, básicamente en línea con la tendencia general de importantes países europeos, como Alemania, Italia y Gran Bretaña.</w:t>
      </w:r>
    </w:p>
    <w:p w14:paraId="21EEB83C" w14:textId="715D00DC" w:rsidR="00313630" w:rsidRDefault="00A71D3E" w:rsidP="00313630">
      <w:pPr>
        <w:shd w:val="clear" w:color="auto" w:fill="FFFFFF"/>
        <w:ind w:left="1701"/>
        <w:jc w:val="both"/>
        <w:outlineLvl w:val="0"/>
        <w:rPr>
          <w:bCs/>
          <w:color w:val="000000" w:themeColor="text1"/>
          <w:sz w:val="23"/>
          <w:szCs w:val="23"/>
        </w:rPr>
      </w:pPr>
      <w:r>
        <w:rPr>
          <w:sz w:val="23"/>
        </w:rPr>
        <w:t>En el mercado español, la alta demanda se da, sobre todo, en el segmento de las máquinas para frutales y viñedos. De hecho, la evolución de los estilos de consumo ha generado en este país, como en toda la región mediterránea, una creciente especialización en cultivos de alto valor añadido, cuya producción ha pasado de algo menos de 10.000 millones de euros a más de 20.000 en apenas dos décadas.</w:t>
      </w:r>
      <w:r w:rsidR="00731EF5">
        <w:rPr>
          <w:sz w:val="23"/>
        </w:rPr>
        <w:t xml:space="preserve"> </w:t>
      </w:r>
      <w:r>
        <w:rPr>
          <w:sz w:val="23"/>
        </w:rPr>
        <w:t xml:space="preserve">Estos datos han sido presentados esta mañana durante la rueda de prensa celebrada por FederUnacoma (la federación italiana de fabricantes de máquinas agrícolas) en el marco de la FIMA de Zaragoza. El peso creciente que han ido adquiriendo los cultivos especializados en el panorama de la producción agrícola española –se ha explicado durante la rueda de prensa– ha influido en la necesidad de tecnologías específicas. Según datos </w:t>
      </w:r>
      <w:r w:rsidR="00A13CA7">
        <w:rPr>
          <w:sz w:val="23"/>
        </w:rPr>
        <w:t xml:space="preserve">Ansemat </w:t>
      </w:r>
      <w:r>
        <w:rPr>
          <w:sz w:val="23"/>
        </w:rPr>
        <w:t>en 2021 las matriculaciones de tractores especializados alcanzaron las 5.533 unidades (+9 % respecto a 2020) y superaron los modelos de campo abierto (5.278 vehículos vendidos). Un porcentaje significativo de esta demanda lo cubren los fabricantes italianos: los d</w:t>
      </w:r>
      <w:r>
        <w:rPr>
          <w:color w:val="000000" w:themeColor="text1"/>
          <w:sz w:val="23"/>
        </w:rPr>
        <w:t xml:space="preserve">atos del Instituto Nacional de Estadística Italiano (ISTAT) procesados por FederUnacoma confirman que, hoy, España es el cuarto mercado de destino de las exportaciones de máquinas agrícolas italianas, después de Francia, Estados Unidos y Alemania. «En los últimos doce meses, el valor de las exportaciones del sector a España ha superado los 277 millones de euros, correspondientes al 4,9 % del total de exportaciones italianas de máquinas para la agricultura», </w:t>
      </w:r>
      <w:r>
        <w:rPr>
          <w:sz w:val="23"/>
        </w:rPr>
        <w:t xml:space="preserve">ha recordado el presidente de FederUnacoma, Alessandro Malavolti, durante la rueda de prensa. </w:t>
      </w:r>
      <w:r>
        <w:rPr>
          <w:color w:val="000000" w:themeColor="text1"/>
          <w:sz w:val="23"/>
        </w:rPr>
        <w:t xml:space="preserve">Así pues, en el sector de la mecánica agrícola, la cooperación económica entre los dos países mediterráneos es muy sólida, como confirma la presencia de operadores españoles en EIMA International, la feria mundial de tecnologías agrícolas que se celebra en Bolonia cada dos años. De hecho, en las últimas ediciones del certamen se ha registrado un apreciable </w:t>
      </w:r>
      <w:r w:rsidR="00BF0385">
        <w:rPr>
          <w:color w:val="000000" w:themeColor="text1"/>
          <w:sz w:val="23"/>
        </w:rPr>
        <w:t xml:space="preserve">crecimiento </w:t>
      </w:r>
      <w:r>
        <w:rPr>
          <w:color w:val="000000" w:themeColor="text1"/>
          <w:sz w:val="23"/>
        </w:rPr>
        <w:t>tanto de empresas expositoras –de 55 en 2012 a 67 en 2018– como de visitantes españoles, que han pasado de 1.300 a 2.700. También la próxima edición de EIMA Internacional, que se celebrará del 9 al 13 de noviembre, debería contar con una nutrida presencia de fabricantes y operadores económicos españoles. «La feria boloñesa –ha subrayado Malavolti– es un extraordinario laboratorio de innovación que, gracias a la amplia gama de tecnologías expuestas, ofrece las soluciones más avanzadas para cada modelo de agricultura». «La agricultura española –ha concluido Malavolti– se centra en cultivos de alto valor añadido, producciones para las que la industria italiana ofrece las mejores tecnologías».</w:t>
      </w:r>
    </w:p>
    <w:p w14:paraId="0F0CBF6F" w14:textId="2A4A027A" w:rsidR="00313630" w:rsidRDefault="00313630" w:rsidP="00313630">
      <w:pPr>
        <w:shd w:val="clear" w:color="auto" w:fill="FFFFFF"/>
        <w:ind w:left="1701"/>
        <w:jc w:val="both"/>
        <w:outlineLvl w:val="0"/>
        <w:rPr>
          <w:bCs/>
          <w:color w:val="000000" w:themeColor="text1"/>
          <w:sz w:val="23"/>
          <w:szCs w:val="23"/>
        </w:rPr>
      </w:pPr>
    </w:p>
    <w:p w14:paraId="2EB4A79E" w14:textId="608D06D3" w:rsidR="0025180B" w:rsidRPr="00313630" w:rsidRDefault="00CC7C55" w:rsidP="00313630">
      <w:pPr>
        <w:shd w:val="clear" w:color="auto" w:fill="FFFFFF"/>
        <w:ind w:left="1701"/>
        <w:jc w:val="both"/>
        <w:outlineLvl w:val="0"/>
        <w:rPr>
          <w:bCs/>
          <w:color w:val="000000" w:themeColor="text1"/>
        </w:rPr>
      </w:pPr>
      <w:r>
        <w:rPr>
          <w:b/>
        </w:rPr>
        <w:t>Zaragoza, 27 de abril de 2022</w:t>
      </w:r>
    </w:p>
    <w:sectPr w:rsidR="0025180B" w:rsidRPr="00313630" w:rsidSect="00CC7C55">
      <w:headerReference w:type="even" r:id="rId7"/>
      <w:headerReference w:type="default" r:id="rId8"/>
      <w:footerReference w:type="even" r:id="rId9"/>
      <w:footerReference w:type="default" r:id="rId10"/>
      <w:headerReference w:type="first" r:id="rId11"/>
      <w:footerReference w:type="first" r:id="rId12"/>
      <w:pgSz w:w="11906" w:h="16838"/>
      <w:pgMar w:top="567" w:right="425" w:bottom="567" w:left="1134" w:header="709" w:footer="1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CEFD" w14:textId="77777777" w:rsidR="003E31E6" w:rsidRDefault="003E31E6">
      <w:r>
        <w:separator/>
      </w:r>
    </w:p>
  </w:endnote>
  <w:endnote w:type="continuationSeparator" w:id="0">
    <w:p w14:paraId="579BAF10" w14:textId="77777777" w:rsidR="003E31E6" w:rsidRDefault="003E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CA8A" w14:textId="77777777" w:rsidR="004A719C" w:rsidRDefault="004A71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2382" w14:textId="77777777" w:rsidR="001D56FF" w:rsidRDefault="003B58CA">
    <w:pPr>
      <w:pStyle w:val="Pidipagina"/>
      <w:jc w:val="right"/>
    </w:pPr>
    <w:r>
      <w:fldChar w:fldCharType="begin"/>
    </w:r>
    <w:r>
      <w:instrText>PAGE   \* MERGEFORMAT</w:instrText>
    </w:r>
    <w:r>
      <w:fldChar w:fldCharType="separate"/>
    </w:r>
    <w:r w:rsidR="00400B13">
      <w:rPr>
        <w:noProof/>
      </w:rPr>
      <w:t>1</w:t>
    </w:r>
    <w:r>
      <w:fldChar w:fldCharType="end"/>
    </w:r>
  </w:p>
  <w:p w14:paraId="56622012" w14:textId="77777777" w:rsidR="00AF0D42" w:rsidRDefault="00AF0D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9F1A" w14:textId="77777777" w:rsidR="004A719C" w:rsidRDefault="004A71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3B290" w14:textId="77777777" w:rsidR="003E31E6" w:rsidRDefault="003E31E6">
      <w:r>
        <w:separator/>
      </w:r>
    </w:p>
  </w:footnote>
  <w:footnote w:type="continuationSeparator" w:id="0">
    <w:p w14:paraId="08381224" w14:textId="77777777" w:rsidR="003E31E6" w:rsidRDefault="003E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3470" w14:textId="77777777" w:rsidR="004A719C" w:rsidRDefault="004A71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EC7D" w14:textId="02FF2AE3" w:rsidR="00B23C35" w:rsidRDefault="00BB0271" w:rsidP="00066D70">
    <w:pPr>
      <w:pStyle w:val="Intestazione"/>
      <w:tabs>
        <w:tab w:val="clear" w:pos="9638"/>
      </w:tabs>
    </w:pPr>
    <w:r>
      <w:rPr>
        <w:noProof/>
        <w:lang w:eastAsia="es-ES"/>
      </w:rPr>
      <w:drawing>
        <wp:anchor distT="0" distB="0" distL="114300" distR="114300" simplePos="0" relativeHeight="251657728" behindDoc="1" locked="0" layoutInCell="1" allowOverlap="1" wp14:anchorId="3C8DC445" wp14:editId="4F36C3B7">
          <wp:simplePos x="0" y="0"/>
          <wp:positionH relativeFrom="column">
            <wp:posOffset>-1024890</wp:posOffset>
          </wp:positionH>
          <wp:positionV relativeFrom="paragraph">
            <wp:posOffset>-427990</wp:posOffset>
          </wp:positionV>
          <wp:extent cx="7560310" cy="1067625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0407" w14:textId="77777777" w:rsidR="004A719C" w:rsidRDefault="004A71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953D2"/>
    <w:multiLevelType w:val="hybridMultilevel"/>
    <w:tmpl w:val="6FAEF17A"/>
    <w:lvl w:ilvl="0" w:tplc="1CCAB1AA">
      <w:start w:val="1"/>
      <w:numFmt w:val="bullet"/>
      <w:lvlText w:val=""/>
      <w:lvlJc w:val="left"/>
      <w:pPr>
        <w:tabs>
          <w:tab w:val="num" w:pos="360"/>
        </w:tabs>
        <w:ind w:left="360" w:hanging="360"/>
      </w:pPr>
      <w:rPr>
        <w:rFonts w:ascii="Symbol" w:hAnsi="Symbol" w:hint="default"/>
      </w:rPr>
    </w:lvl>
    <w:lvl w:ilvl="1" w:tplc="3854623A" w:tentative="1">
      <w:start w:val="1"/>
      <w:numFmt w:val="bullet"/>
      <w:lvlText w:val="o"/>
      <w:lvlJc w:val="left"/>
      <w:pPr>
        <w:tabs>
          <w:tab w:val="num" w:pos="1080"/>
        </w:tabs>
        <w:ind w:left="1080" w:hanging="360"/>
      </w:pPr>
      <w:rPr>
        <w:rFonts w:ascii="Courier New" w:hAnsi="Courier New" w:cs="Arial" w:hint="default"/>
      </w:rPr>
    </w:lvl>
    <w:lvl w:ilvl="2" w:tplc="D3AC2E46" w:tentative="1">
      <w:start w:val="1"/>
      <w:numFmt w:val="bullet"/>
      <w:lvlText w:val=""/>
      <w:lvlJc w:val="left"/>
      <w:pPr>
        <w:tabs>
          <w:tab w:val="num" w:pos="1800"/>
        </w:tabs>
        <w:ind w:left="1800" w:hanging="360"/>
      </w:pPr>
      <w:rPr>
        <w:rFonts w:ascii="Wingdings" w:hAnsi="Wingdings" w:hint="default"/>
      </w:rPr>
    </w:lvl>
    <w:lvl w:ilvl="3" w:tplc="AB4E666E" w:tentative="1">
      <w:start w:val="1"/>
      <w:numFmt w:val="bullet"/>
      <w:lvlText w:val=""/>
      <w:lvlJc w:val="left"/>
      <w:pPr>
        <w:tabs>
          <w:tab w:val="num" w:pos="2520"/>
        </w:tabs>
        <w:ind w:left="2520" w:hanging="360"/>
      </w:pPr>
      <w:rPr>
        <w:rFonts w:ascii="Symbol" w:hAnsi="Symbol" w:hint="default"/>
      </w:rPr>
    </w:lvl>
    <w:lvl w:ilvl="4" w:tplc="05364ADC" w:tentative="1">
      <w:start w:val="1"/>
      <w:numFmt w:val="bullet"/>
      <w:lvlText w:val="o"/>
      <w:lvlJc w:val="left"/>
      <w:pPr>
        <w:tabs>
          <w:tab w:val="num" w:pos="3240"/>
        </w:tabs>
        <w:ind w:left="3240" w:hanging="360"/>
      </w:pPr>
      <w:rPr>
        <w:rFonts w:ascii="Courier New" w:hAnsi="Courier New" w:cs="Arial" w:hint="default"/>
      </w:rPr>
    </w:lvl>
    <w:lvl w:ilvl="5" w:tplc="6CDE0F08" w:tentative="1">
      <w:start w:val="1"/>
      <w:numFmt w:val="bullet"/>
      <w:lvlText w:val=""/>
      <w:lvlJc w:val="left"/>
      <w:pPr>
        <w:tabs>
          <w:tab w:val="num" w:pos="3960"/>
        </w:tabs>
        <w:ind w:left="3960" w:hanging="360"/>
      </w:pPr>
      <w:rPr>
        <w:rFonts w:ascii="Wingdings" w:hAnsi="Wingdings" w:hint="default"/>
      </w:rPr>
    </w:lvl>
    <w:lvl w:ilvl="6" w:tplc="E4B47A06" w:tentative="1">
      <w:start w:val="1"/>
      <w:numFmt w:val="bullet"/>
      <w:lvlText w:val=""/>
      <w:lvlJc w:val="left"/>
      <w:pPr>
        <w:tabs>
          <w:tab w:val="num" w:pos="4680"/>
        </w:tabs>
        <w:ind w:left="4680" w:hanging="360"/>
      </w:pPr>
      <w:rPr>
        <w:rFonts w:ascii="Symbol" w:hAnsi="Symbol" w:hint="default"/>
      </w:rPr>
    </w:lvl>
    <w:lvl w:ilvl="7" w:tplc="B45EF248" w:tentative="1">
      <w:start w:val="1"/>
      <w:numFmt w:val="bullet"/>
      <w:lvlText w:val="o"/>
      <w:lvlJc w:val="left"/>
      <w:pPr>
        <w:tabs>
          <w:tab w:val="num" w:pos="5400"/>
        </w:tabs>
        <w:ind w:left="5400" w:hanging="360"/>
      </w:pPr>
      <w:rPr>
        <w:rFonts w:ascii="Courier New" w:hAnsi="Courier New" w:cs="Arial" w:hint="default"/>
      </w:rPr>
    </w:lvl>
    <w:lvl w:ilvl="8" w:tplc="6E7859A8" w:tentative="1">
      <w:start w:val="1"/>
      <w:numFmt w:val="bullet"/>
      <w:lvlText w:val=""/>
      <w:lvlJc w:val="left"/>
      <w:pPr>
        <w:tabs>
          <w:tab w:val="num" w:pos="6120"/>
        </w:tabs>
        <w:ind w:left="6120" w:hanging="360"/>
      </w:pPr>
      <w:rPr>
        <w:rFonts w:ascii="Wingdings" w:hAnsi="Wingdings" w:hint="default"/>
      </w:rPr>
    </w:lvl>
  </w:abstractNum>
  <w:num w:numId="1" w16cid:durableId="131486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62D"/>
    <w:rsid w:val="00001397"/>
    <w:rsid w:val="00003527"/>
    <w:rsid w:val="000178C3"/>
    <w:rsid w:val="0003002D"/>
    <w:rsid w:val="00033748"/>
    <w:rsid w:val="000337C4"/>
    <w:rsid w:val="00033FCD"/>
    <w:rsid w:val="000409E0"/>
    <w:rsid w:val="00063F49"/>
    <w:rsid w:val="00066D70"/>
    <w:rsid w:val="000710A8"/>
    <w:rsid w:val="00073904"/>
    <w:rsid w:val="00074CA5"/>
    <w:rsid w:val="00074FE4"/>
    <w:rsid w:val="00082881"/>
    <w:rsid w:val="00086ABB"/>
    <w:rsid w:val="00097520"/>
    <w:rsid w:val="000A40D6"/>
    <w:rsid w:val="000B5F3B"/>
    <w:rsid w:val="000C3C5A"/>
    <w:rsid w:val="000D1498"/>
    <w:rsid w:val="000D2A17"/>
    <w:rsid w:val="000E2858"/>
    <w:rsid w:val="000E549D"/>
    <w:rsid w:val="000F7E1E"/>
    <w:rsid w:val="00103ECE"/>
    <w:rsid w:val="00106416"/>
    <w:rsid w:val="00107CF1"/>
    <w:rsid w:val="0011547B"/>
    <w:rsid w:val="00126942"/>
    <w:rsid w:val="00142BC9"/>
    <w:rsid w:val="00146570"/>
    <w:rsid w:val="00152C3B"/>
    <w:rsid w:val="00160027"/>
    <w:rsid w:val="0016127A"/>
    <w:rsid w:val="00165309"/>
    <w:rsid w:val="001819EF"/>
    <w:rsid w:val="00191954"/>
    <w:rsid w:val="00192B06"/>
    <w:rsid w:val="00196112"/>
    <w:rsid w:val="001A3C20"/>
    <w:rsid w:val="001A4F39"/>
    <w:rsid w:val="001A717B"/>
    <w:rsid w:val="001B5FCF"/>
    <w:rsid w:val="001B627E"/>
    <w:rsid w:val="001C15FD"/>
    <w:rsid w:val="001C6652"/>
    <w:rsid w:val="001C76CC"/>
    <w:rsid w:val="001D2AC4"/>
    <w:rsid w:val="001D56FF"/>
    <w:rsid w:val="001D7474"/>
    <w:rsid w:val="001E28EC"/>
    <w:rsid w:val="001E3929"/>
    <w:rsid w:val="001F0A16"/>
    <w:rsid w:val="001F43D1"/>
    <w:rsid w:val="002059E3"/>
    <w:rsid w:val="00207704"/>
    <w:rsid w:val="00210462"/>
    <w:rsid w:val="00210B2C"/>
    <w:rsid w:val="002175C0"/>
    <w:rsid w:val="002209C1"/>
    <w:rsid w:val="00233310"/>
    <w:rsid w:val="002373DA"/>
    <w:rsid w:val="00241738"/>
    <w:rsid w:val="00242540"/>
    <w:rsid w:val="00242F99"/>
    <w:rsid w:val="00245018"/>
    <w:rsid w:val="0025180B"/>
    <w:rsid w:val="00262E18"/>
    <w:rsid w:val="00270C14"/>
    <w:rsid w:val="002771D9"/>
    <w:rsid w:val="00280722"/>
    <w:rsid w:val="00283BB3"/>
    <w:rsid w:val="00285A33"/>
    <w:rsid w:val="00287E96"/>
    <w:rsid w:val="002902B6"/>
    <w:rsid w:val="00293124"/>
    <w:rsid w:val="00293440"/>
    <w:rsid w:val="00294EB9"/>
    <w:rsid w:val="0029566B"/>
    <w:rsid w:val="002A4C4C"/>
    <w:rsid w:val="002A4FC7"/>
    <w:rsid w:val="002B04DE"/>
    <w:rsid w:val="002B1023"/>
    <w:rsid w:val="002B16D3"/>
    <w:rsid w:val="002B2A92"/>
    <w:rsid w:val="002C076E"/>
    <w:rsid w:val="002D0972"/>
    <w:rsid w:val="002E0762"/>
    <w:rsid w:val="002E0E25"/>
    <w:rsid w:val="002E12F9"/>
    <w:rsid w:val="002E1A80"/>
    <w:rsid w:val="002E4B67"/>
    <w:rsid w:val="002F15BD"/>
    <w:rsid w:val="002F6567"/>
    <w:rsid w:val="002F7564"/>
    <w:rsid w:val="00302659"/>
    <w:rsid w:val="00302938"/>
    <w:rsid w:val="00306B7B"/>
    <w:rsid w:val="003129B7"/>
    <w:rsid w:val="003132BB"/>
    <w:rsid w:val="00313630"/>
    <w:rsid w:val="00315136"/>
    <w:rsid w:val="00325831"/>
    <w:rsid w:val="00332184"/>
    <w:rsid w:val="0034203E"/>
    <w:rsid w:val="00350EC8"/>
    <w:rsid w:val="00350F15"/>
    <w:rsid w:val="00352C4E"/>
    <w:rsid w:val="003574DE"/>
    <w:rsid w:val="003616E4"/>
    <w:rsid w:val="0036535D"/>
    <w:rsid w:val="003731AE"/>
    <w:rsid w:val="0038005B"/>
    <w:rsid w:val="00385EA5"/>
    <w:rsid w:val="003927D9"/>
    <w:rsid w:val="00394D08"/>
    <w:rsid w:val="003A355A"/>
    <w:rsid w:val="003A60AB"/>
    <w:rsid w:val="003A6565"/>
    <w:rsid w:val="003A7060"/>
    <w:rsid w:val="003B27E5"/>
    <w:rsid w:val="003B58CA"/>
    <w:rsid w:val="003C5D12"/>
    <w:rsid w:val="003D78B8"/>
    <w:rsid w:val="003E24F0"/>
    <w:rsid w:val="003E3174"/>
    <w:rsid w:val="003E31E6"/>
    <w:rsid w:val="003E3957"/>
    <w:rsid w:val="003E7B1C"/>
    <w:rsid w:val="003E7F01"/>
    <w:rsid w:val="003F1320"/>
    <w:rsid w:val="00400B13"/>
    <w:rsid w:val="00403861"/>
    <w:rsid w:val="00405D9F"/>
    <w:rsid w:val="004145F6"/>
    <w:rsid w:val="00421382"/>
    <w:rsid w:val="00427165"/>
    <w:rsid w:val="004326CA"/>
    <w:rsid w:val="00435016"/>
    <w:rsid w:val="0044243A"/>
    <w:rsid w:val="0044504B"/>
    <w:rsid w:val="0046521A"/>
    <w:rsid w:val="00467F53"/>
    <w:rsid w:val="004700BF"/>
    <w:rsid w:val="004A2A74"/>
    <w:rsid w:val="004A719C"/>
    <w:rsid w:val="004A75D3"/>
    <w:rsid w:val="004B2ECD"/>
    <w:rsid w:val="004B70D5"/>
    <w:rsid w:val="004C53C2"/>
    <w:rsid w:val="004C55A1"/>
    <w:rsid w:val="004C59E1"/>
    <w:rsid w:val="004D0A01"/>
    <w:rsid w:val="004D6531"/>
    <w:rsid w:val="004D6BFD"/>
    <w:rsid w:val="004E2522"/>
    <w:rsid w:val="004E2995"/>
    <w:rsid w:val="004E2E9B"/>
    <w:rsid w:val="004E6072"/>
    <w:rsid w:val="004E6A41"/>
    <w:rsid w:val="004F1495"/>
    <w:rsid w:val="004F7FC5"/>
    <w:rsid w:val="00503957"/>
    <w:rsid w:val="00503E18"/>
    <w:rsid w:val="0050405E"/>
    <w:rsid w:val="005041A8"/>
    <w:rsid w:val="00512503"/>
    <w:rsid w:val="00512794"/>
    <w:rsid w:val="00513993"/>
    <w:rsid w:val="00535932"/>
    <w:rsid w:val="00545C25"/>
    <w:rsid w:val="0055534A"/>
    <w:rsid w:val="005561A8"/>
    <w:rsid w:val="00570188"/>
    <w:rsid w:val="00574E0A"/>
    <w:rsid w:val="00575C13"/>
    <w:rsid w:val="005822E6"/>
    <w:rsid w:val="00590B77"/>
    <w:rsid w:val="0059473E"/>
    <w:rsid w:val="00597963"/>
    <w:rsid w:val="005A0DF0"/>
    <w:rsid w:val="005A35FB"/>
    <w:rsid w:val="005A3C6F"/>
    <w:rsid w:val="005A45F4"/>
    <w:rsid w:val="005A6777"/>
    <w:rsid w:val="005A698F"/>
    <w:rsid w:val="005A7C1A"/>
    <w:rsid w:val="005B29EB"/>
    <w:rsid w:val="005B61E7"/>
    <w:rsid w:val="005D10F9"/>
    <w:rsid w:val="005E01EA"/>
    <w:rsid w:val="005E0643"/>
    <w:rsid w:val="005E6B98"/>
    <w:rsid w:val="005E70AE"/>
    <w:rsid w:val="0060320E"/>
    <w:rsid w:val="0061653E"/>
    <w:rsid w:val="00622326"/>
    <w:rsid w:val="006433C9"/>
    <w:rsid w:val="0065073A"/>
    <w:rsid w:val="00674484"/>
    <w:rsid w:val="006747CD"/>
    <w:rsid w:val="006764A2"/>
    <w:rsid w:val="00676CAD"/>
    <w:rsid w:val="00687E3E"/>
    <w:rsid w:val="006940A7"/>
    <w:rsid w:val="006956C9"/>
    <w:rsid w:val="006A38D5"/>
    <w:rsid w:val="006A5E76"/>
    <w:rsid w:val="006B4344"/>
    <w:rsid w:val="006B55C8"/>
    <w:rsid w:val="006C486F"/>
    <w:rsid w:val="006C4B11"/>
    <w:rsid w:val="006C6E91"/>
    <w:rsid w:val="006E245F"/>
    <w:rsid w:val="006E26DB"/>
    <w:rsid w:val="006E4921"/>
    <w:rsid w:val="006F4F6B"/>
    <w:rsid w:val="007002EB"/>
    <w:rsid w:val="00710B29"/>
    <w:rsid w:val="00711CB1"/>
    <w:rsid w:val="0072285A"/>
    <w:rsid w:val="00723741"/>
    <w:rsid w:val="00723B80"/>
    <w:rsid w:val="0073178F"/>
    <w:rsid w:val="00731EF5"/>
    <w:rsid w:val="007322C7"/>
    <w:rsid w:val="007324E8"/>
    <w:rsid w:val="007420A8"/>
    <w:rsid w:val="007517A4"/>
    <w:rsid w:val="0075187A"/>
    <w:rsid w:val="00755009"/>
    <w:rsid w:val="007620E2"/>
    <w:rsid w:val="00764FDF"/>
    <w:rsid w:val="007751DC"/>
    <w:rsid w:val="00776788"/>
    <w:rsid w:val="00782602"/>
    <w:rsid w:val="007A4DC5"/>
    <w:rsid w:val="007B1034"/>
    <w:rsid w:val="007B684E"/>
    <w:rsid w:val="007B7E69"/>
    <w:rsid w:val="007C11AB"/>
    <w:rsid w:val="007C2951"/>
    <w:rsid w:val="007C2BC3"/>
    <w:rsid w:val="007C43EC"/>
    <w:rsid w:val="007C7E1A"/>
    <w:rsid w:val="007C7FD8"/>
    <w:rsid w:val="007E0489"/>
    <w:rsid w:val="007E3F45"/>
    <w:rsid w:val="007F3412"/>
    <w:rsid w:val="007F4106"/>
    <w:rsid w:val="007F4788"/>
    <w:rsid w:val="007F66C0"/>
    <w:rsid w:val="007F7E77"/>
    <w:rsid w:val="0080230D"/>
    <w:rsid w:val="00806D57"/>
    <w:rsid w:val="00810477"/>
    <w:rsid w:val="008114E7"/>
    <w:rsid w:val="00813952"/>
    <w:rsid w:val="0081459C"/>
    <w:rsid w:val="008249FA"/>
    <w:rsid w:val="00826CC9"/>
    <w:rsid w:val="00831A64"/>
    <w:rsid w:val="00833590"/>
    <w:rsid w:val="00842FA8"/>
    <w:rsid w:val="00844320"/>
    <w:rsid w:val="00846F37"/>
    <w:rsid w:val="00855D87"/>
    <w:rsid w:val="00860FBF"/>
    <w:rsid w:val="00864B7A"/>
    <w:rsid w:val="008654F9"/>
    <w:rsid w:val="00875EF1"/>
    <w:rsid w:val="00881E66"/>
    <w:rsid w:val="008A07A2"/>
    <w:rsid w:val="008A31D5"/>
    <w:rsid w:val="008A3BBD"/>
    <w:rsid w:val="008B2D62"/>
    <w:rsid w:val="008B4434"/>
    <w:rsid w:val="008B7C2D"/>
    <w:rsid w:val="008C132E"/>
    <w:rsid w:val="008C5C97"/>
    <w:rsid w:val="008D3655"/>
    <w:rsid w:val="008D504F"/>
    <w:rsid w:val="008D566A"/>
    <w:rsid w:val="008E0B34"/>
    <w:rsid w:val="008F484F"/>
    <w:rsid w:val="008F7A40"/>
    <w:rsid w:val="00917CEA"/>
    <w:rsid w:val="00920916"/>
    <w:rsid w:val="00932A48"/>
    <w:rsid w:val="00936493"/>
    <w:rsid w:val="009368D1"/>
    <w:rsid w:val="00937B22"/>
    <w:rsid w:val="00942562"/>
    <w:rsid w:val="00956486"/>
    <w:rsid w:val="0095767D"/>
    <w:rsid w:val="00960B85"/>
    <w:rsid w:val="00970684"/>
    <w:rsid w:val="00973406"/>
    <w:rsid w:val="0098061F"/>
    <w:rsid w:val="00981BB7"/>
    <w:rsid w:val="00981E0B"/>
    <w:rsid w:val="00984AB7"/>
    <w:rsid w:val="009860D3"/>
    <w:rsid w:val="00994FA6"/>
    <w:rsid w:val="009A32DF"/>
    <w:rsid w:val="009A545B"/>
    <w:rsid w:val="009B330D"/>
    <w:rsid w:val="009B41F5"/>
    <w:rsid w:val="009C68DD"/>
    <w:rsid w:val="009D0BD7"/>
    <w:rsid w:val="009E2525"/>
    <w:rsid w:val="009E53D9"/>
    <w:rsid w:val="009F4971"/>
    <w:rsid w:val="009F593B"/>
    <w:rsid w:val="009F7044"/>
    <w:rsid w:val="00A13CA7"/>
    <w:rsid w:val="00A161AC"/>
    <w:rsid w:val="00A202B3"/>
    <w:rsid w:val="00A313A1"/>
    <w:rsid w:val="00A407EF"/>
    <w:rsid w:val="00A40DA4"/>
    <w:rsid w:val="00A42C9A"/>
    <w:rsid w:val="00A551A0"/>
    <w:rsid w:val="00A6591D"/>
    <w:rsid w:val="00A65E22"/>
    <w:rsid w:val="00A71D3E"/>
    <w:rsid w:val="00A777B8"/>
    <w:rsid w:val="00A854A8"/>
    <w:rsid w:val="00A934F9"/>
    <w:rsid w:val="00A937DD"/>
    <w:rsid w:val="00AA7D80"/>
    <w:rsid w:val="00AB6D33"/>
    <w:rsid w:val="00AC54EA"/>
    <w:rsid w:val="00AD157D"/>
    <w:rsid w:val="00AE2B91"/>
    <w:rsid w:val="00AE7084"/>
    <w:rsid w:val="00AE70BD"/>
    <w:rsid w:val="00AF0D42"/>
    <w:rsid w:val="00AF1272"/>
    <w:rsid w:val="00AF34ED"/>
    <w:rsid w:val="00AF369E"/>
    <w:rsid w:val="00AF7B16"/>
    <w:rsid w:val="00B030F7"/>
    <w:rsid w:val="00B06315"/>
    <w:rsid w:val="00B06531"/>
    <w:rsid w:val="00B20DAA"/>
    <w:rsid w:val="00B22182"/>
    <w:rsid w:val="00B22E7C"/>
    <w:rsid w:val="00B23C35"/>
    <w:rsid w:val="00B23FB1"/>
    <w:rsid w:val="00B243E8"/>
    <w:rsid w:val="00B41AAB"/>
    <w:rsid w:val="00B424FB"/>
    <w:rsid w:val="00B468B8"/>
    <w:rsid w:val="00B501C7"/>
    <w:rsid w:val="00B60F34"/>
    <w:rsid w:val="00B64A0D"/>
    <w:rsid w:val="00B70E08"/>
    <w:rsid w:val="00B70FA3"/>
    <w:rsid w:val="00B82A27"/>
    <w:rsid w:val="00B847F6"/>
    <w:rsid w:val="00B85AED"/>
    <w:rsid w:val="00B902BC"/>
    <w:rsid w:val="00BB0271"/>
    <w:rsid w:val="00BB044D"/>
    <w:rsid w:val="00BB0B06"/>
    <w:rsid w:val="00BB12CF"/>
    <w:rsid w:val="00BB2F48"/>
    <w:rsid w:val="00BC293D"/>
    <w:rsid w:val="00BC2D4B"/>
    <w:rsid w:val="00BC5B78"/>
    <w:rsid w:val="00BC6D51"/>
    <w:rsid w:val="00BD2F57"/>
    <w:rsid w:val="00BD48AE"/>
    <w:rsid w:val="00BE603F"/>
    <w:rsid w:val="00BF0385"/>
    <w:rsid w:val="00BF53A1"/>
    <w:rsid w:val="00C004D2"/>
    <w:rsid w:val="00C0369A"/>
    <w:rsid w:val="00C1036E"/>
    <w:rsid w:val="00C20B1E"/>
    <w:rsid w:val="00C23B56"/>
    <w:rsid w:val="00C40853"/>
    <w:rsid w:val="00C41089"/>
    <w:rsid w:val="00C50A6B"/>
    <w:rsid w:val="00C5197E"/>
    <w:rsid w:val="00C51D1E"/>
    <w:rsid w:val="00C6007C"/>
    <w:rsid w:val="00C604D1"/>
    <w:rsid w:val="00C6464C"/>
    <w:rsid w:val="00C8234E"/>
    <w:rsid w:val="00C9176A"/>
    <w:rsid w:val="00C94717"/>
    <w:rsid w:val="00C97E64"/>
    <w:rsid w:val="00CA085B"/>
    <w:rsid w:val="00CA0A04"/>
    <w:rsid w:val="00CA2ACB"/>
    <w:rsid w:val="00CA5D56"/>
    <w:rsid w:val="00CA67C3"/>
    <w:rsid w:val="00CB314D"/>
    <w:rsid w:val="00CB5493"/>
    <w:rsid w:val="00CC509D"/>
    <w:rsid w:val="00CC51E5"/>
    <w:rsid w:val="00CC6482"/>
    <w:rsid w:val="00CC7204"/>
    <w:rsid w:val="00CC7C55"/>
    <w:rsid w:val="00CD3729"/>
    <w:rsid w:val="00CD59B5"/>
    <w:rsid w:val="00CD79CD"/>
    <w:rsid w:val="00CE2013"/>
    <w:rsid w:val="00CF240F"/>
    <w:rsid w:val="00CF5D45"/>
    <w:rsid w:val="00CF6C14"/>
    <w:rsid w:val="00D01C4C"/>
    <w:rsid w:val="00D039B5"/>
    <w:rsid w:val="00D04823"/>
    <w:rsid w:val="00D20092"/>
    <w:rsid w:val="00D20A08"/>
    <w:rsid w:val="00D224D0"/>
    <w:rsid w:val="00D3218C"/>
    <w:rsid w:val="00D34EFC"/>
    <w:rsid w:val="00D46443"/>
    <w:rsid w:val="00D560BC"/>
    <w:rsid w:val="00D60E82"/>
    <w:rsid w:val="00D67811"/>
    <w:rsid w:val="00D7462D"/>
    <w:rsid w:val="00D75701"/>
    <w:rsid w:val="00D83597"/>
    <w:rsid w:val="00D9109D"/>
    <w:rsid w:val="00D93505"/>
    <w:rsid w:val="00DB1C0C"/>
    <w:rsid w:val="00DB75A6"/>
    <w:rsid w:val="00DC5277"/>
    <w:rsid w:val="00DD15BF"/>
    <w:rsid w:val="00DD37E9"/>
    <w:rsid w:val="00DE13D5"/>
    <w:rsid w:val="00DE1B3C"/>
    <w:rsid w:val="00DE50D3"/>
    <w:rsid w:val="00DE7059"/>
    <w:rsid w:val="00DE72CA"/>
    <w:rsid w:val="00DE7FB8"/>
    <w:rsid w:val="00DF0B6A"/>
    <w:rsid w:val="00DF67ED"/>
    <w:rsid w:val="00E017C2"/>
    <w:rsid w:val="00E01945"/>
    <w:rsid w:val="00E050F4"/>
    <w:rsid w:val="00E05517"/>
    <w:rsid w:val="00E214CF"/>
    <w:rsid w:val="00E271E8"/>
    <w:rsid w:val="00E31EF7"/>
    <w:rsid w:val="00E32CDE"/>
    <w:rsid w:val="00E400B5"/>
    <w:rsid w:val="00E40431"/>
    <w:rsid w:val="00E445E5"/>
    <w:rsid w:val="00E553DB"/>
    <w:rsid w:val="00E56DAD"/>
    <w:rsid w:val="00E606D0"/>
    <w:rsid w:val="00E64AEC"/>
    <w:rsid w:val="00E70A0B"/>
    <w:rsid w:val="00E7207B"/>
    <w:rsid w:val="00E8168B"/>
    <w:rsid w:val="00E92326"/>
    <w:rsid w:val="00E9324C"/>
    <w:rsid w:val="00EA2C8C"/>
    <w:rsid w:val="00EB372F"/>
    <w:rsid w:val="00EB4A00"/>
    <w:rsid w:val="00EB61BD"/>
    <w:rsid w:val="00EC4E8F"/>
    <w:rsid w:val="00EC6341"/>
    <w:rsid w:val="00ED17E0"/>
    <w:rsid w:val="00EE296E"/>
    <w:rsid w:val="00EE32AF"/>
    <w:rsid w:val="00EF3962"/>
    <w:rsid w:val="00EF7F2F"/>
    <w:rsid w:val="00F023B0"/>
    <w:rsid w:val="00F125FD"/>
    <w:rsid w:val="00F15C89"/>
    <w:rsid w:val="00F1614D"/>
    <w:rsid w:val="00F16B69"/>
    <w:rsid w:val="00F17E05"/>
    <w:rsid w:val="00F219D7"/>
    <w:rsid w:val="00F24B6E"/>
    <w:rsid w:val="00F32C90"/>
    <w:rsid w:val="00F36BB6"/>
    <w:rsid w:val="00F4201A"/>
    <w:rsid w:val="00F43BE4"/>
    <w:rsid w:val="00F54585"/>
    <w:rsid w:val="00F56B01"/>
    <w:rsid w:val="00F63B35"/>
    <w:rsid w:val="00F761D3"/>
    <w:rsid w:val="00F90889"/>
    <w:rsid w:val="00FA4C9D"/>
    <w:rsid w:val="00FB1763"/>
    <w:rsid w:val="00FB2A84"/>
    <w:rsid w:val="00FC4A4D"/>
    <w:rsid w:val="00FD1245"/>
    <w:rsid w:val="00FD1824"/>
    <w:rsid w:val="00FD58B8"/>
    <w:rsid w:val="00FE0A1C"/>
    <w:rsid w:val="00FF1082"/>
    <w:rsid w:val="00FF2AE1"/>
    <w:rsid w:val="00FF3FEE"/>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A9F56"/>
  <w15:chartTrackingRefBased/>
  <w15:docId w15:val="{0AC7E993-43B8-764E-B078-F35590F7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25D3"/>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7462D"/>
    <w:pPr>
      <w:tabs>
        <w:tab w:val="center" w:pos="4819"/>
        <w:tab w:val="right" w:pos="9638"/>
      </w:tabs>
    </w:pPr>
  </w:style>
  <w:style w:type="paragraph" w:styleId="Pidipagina">
    <w:name w:val="footer"/>
    <w:basedOn w:val="Normale"/>
    <w:link w:val="PidipaginaCarattere"/>
    <w:uiPriority w:val="99"/>
    <w:rsid w:val="00D7462D"/>
    <w:pPr>
      <w:tabs>
        <w:tab w:val="center" w:pos="4819"/>
        <w:tab w:val="right" w:pos="9638"/>
      </w:tabs>
    </w:pPr>
    <w:rPr>
      <w:lang w:eastAsia="x-none"/>
    </w:rPr>
  </w:style>
  <w:style w:type="paragraph" w:styleId="NormaleWeb">
    <w:name w:val="Normal (Web)"/>
    <w:basedOn w:val="Normale"/>
    <w:rsid w:val="007F4809"/>
    <w:pPr>
      <w:spacing w:before="100" w:beforeAutospacing="1" w:after="100" w:afterAutospacing="1"/>
    </w:pPr>
  </w:style>
  <w:style w:type="character" w:styleId="Enfasigrassetto">
    <w:name w:val="Strong"/>
    <w:qFormat/>
    <w:rsid w:val="007F4809"/>
    <w:rPr>
      <w:b/>
      <w:bCs/>
    </w:rPr>
  </w:style>
  <w:style w:type="character" w:customStyle="1" w:styleId="PidipaginaCarattere">
    <w:name w:val="Piè di pagina Carattere"/>
    <w:link w:val="Pidipagina"/>
    <w:uiPriority w:val="99"/>
    <w:rsid w:val="00AF0D42"/>
    <w:rPr>
      <w:sz w:val="24"/>
      <w:szCs w:val="24"/>
    </w:rPr>
  </w:style>
  <w:style w:type="paragraph" w:styleId="Testofumetto">
    <w:name w:val="Balloon Text"/>
    <w:basedOn w:val="Normale"/>
    <w:link w:val="TestofumettoCarattere"/>
    <w:rsid w:val="008F7A40"/>
    <w:rPr>
      <w:rFonts w:ascii="Tahoma" w:hAnsi="Tahoma"/>
      <w:sz w:val="16"/>
      <w:szCs w:val="16"/>
      <w:lang w:eastAsia="x-none"/>
    </w:rPr>
  </w:style>
  <w:style w:type="character" w:customStyle="1" w:styleId="TestofumettoCarattere">
    <w:name w:val="Testo fumetto Carattere"/>
    <w:link w:val="Testofumetto"/>
    <w:rsid w:val="008F7A40"/>
    <w:rPr>
      <w:rFonts w:ascii="Tahoma" w:hAnsi="Tahoma" w:cs="Tahoma"/>
      <w:sz w:val="16"/>
      <w:szCs w:val="16"/>
    </w:rPr>
  </w:style>
  <w:style w:type="character" w:styleId="Enfasicorsivo">
    <w:name w:val="Emphasis"/>
    <w:qFormat/>
    <w:rsid w:val="000337C4"/>
    <w:rPr>
      <w:i/>
      <w:iCs/>
    </w:rPr>
  </w:style>
  <w:style w:type="character" w:styleId="Collegamentoipertestuale">
    <w:name w:val="Hyperlink"/>
    <w:uiPriority w:val="99"/>
    <w:unhideWhenUsed/>
    <w:rsid w:val="00E400B5"/>
    <w:rPr>
      <w:color w:val="0000FF"/>
      <w:u w:val="single"/>
    </w:rPr>
  </w:style>
  <w:style w:type="character" w:styleId="Rimandocommento">
    <w:name w:val="annotation reference"/>
    <w:rsid w:val="00352C4E"/>
    <w:rPr>
      <w:sz w:val="16"/>
      <w:szCs w:val="16"/>
    </w:rPr>
  </w:style>
  <w:style w:type="paragraph" w:styleId="Testocommento">
    <w:name w:val="annotation text"/>
    <w:basedOn w:val="Normale"/>
    <w:link w:val="TestocommentoCarattere"/>
    <w:rsid w:val="00352C4E"/>
    <w:rPr>
      <w:sz w:val="20"/>
      <w:szCs w:val="20"/>
    </w:rPr>
  </w:style>
  <w:style w:type="character" w:customStyle="1" w:styleId="TestocommentoCarattere">
    <w:name w:val="Testo commento Carattere"/>
    <w:basedOn w:val="Carpredefinitoparagrafo"/>
    <w:link w:val="Testocommento"/>
    <w:rsid w:val="00352C4E"/>
  </w:style>
  <w:style w:type="paragraph" w:styleId="Soggettocommento">
    <w:name w:val="annotation subject"/>
    <w:basedOn w:val="Testocommento"/>
    <w:next w:val="Testocommento"/>
    <w:link w:val="SoggettocommentoCarattere"/>
    <w:rsid w:val="00352C4E"/>
    <w:rPr>
      <w:b/>
      <w:bCs/>
      <w:lang w:eastAsia="x-none"/>
    </w:rPr>
  </w:style>
  <w:style w:type="character" w:customStyle="1" w:styleId="SoggettocommentoCarattere">
    <w:name w:val="Soggetto commento Carattere"/>
    <w:link w:val="Soggettocommento"/>
    <w:rsid w:val="00352C4E"/>
    <w:rPr>
      <w:b/>
      <w:bCs/>
    </w:rPr>
  </w:style>
  <w:style w:type="paragraph" w:styleId="PreformattatoHTML">
    <w:name w:val="HTML Preformatted"/>
    <w:basedOn w:val="Normale"/>
    <w:link w:val="PreformattatoHTMLCarattere"/>
    <w:uiPriority w:val="99"/>
    <w:unhideWhenUsed/>
    <w:rsid w:val="00C4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x-none"/>
    </w:rPr>
  </w:style>
  <w:style w:type="character" w:customStyle="1" w:styleId="PreformattatoHTMLCarattere">
    <w:name w:val="Preformattato HTML Carattere"/>
    <w:link w:val="PreformattatoHTML"/>
    <w:uiPriority w:val="99"/>
    <w:rsid w:val="00C41089"/>
    <w:rPr>
      <w:rFonts w:ascii="Courier New" w:hAnsi="Courier New" w:cs="Courier New"/>
    </w:rPr>
  </w:style>
  <w:style w:type="paragraph" w:styleId="Testonormale">
    <w:name w:val="Plain Text"/>
    <w:basedOn w:val="Normale"/>
    <w:link w:val="TestonormaleCarattere"/>
    <w:uiPriority w:val="99"/>
    <w:unhideWhenUsed/>
    <w:rsid w:val="006956C9"/>
    <w:rPr>
      <w:rFonts w:ascii="Calibri" w:eastAsia="Calibri" w:hAnsi="Calibri"/>
      <w:sz w:val="22"/>
      <w:szCs w:val="21"/>
      <w:lang w:eastAsia="en-US"/>
    </w:rPr>
  </w:style>
  <w:style w:type="character" w:customStyle="1" w:styleId="TestonormaleCarattere">
    <w:name w:val="Testo normale Carattere"/>
    <w:link w:val="Testonormale"/>
    <w:uiPriority w:val="99"/>
    <w:rsid w:val="006956C9"/>
    <w:rPr>
      <w:rFonts w:ascii="Calibri" w:eastAsia="Calibri" w:hAnsi="Calibri" w:cs="Times New Roman"/>
      <w:sz w:val="22"/>
      <w:szCs w:val="21"/>
      <w:lang w:eastAsia="en-US"/>
    </w:rPr>
  </w:style>
  <w:style w:type="character" w:customStyle="1" w:styleId="Menzionenonrisolta1">
    <w:name w:val="Menzione non risolta1"/>
    <w:basedOn w:val="Carpredefinitoparagrafo"/>
    <w:uiPriority w:val="99"/>
    <w:semiHidden/>
    <w:unhideWhenUsed/>
    <w:rsid w:val="00DF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2860">
      <w:bodyDiv w:val="1"/>
      <w:marLeft w:val="0"/>
      <w:marRight w:val="0"/>
      <w:marTop w:val="0"/>
      <w:marBottom w:val="0"/>
      <w:divBdr>
        <w:top w:val="none" w:sz="0" w:space="0" w:color="auto"/>
        <w:left w:val="none" w:sz="0" w:space="0" w:color="auto"/>
        <w:bottom w:val="none" w:sz="0" w:space="0" w:color="auto"/>
        <w:right w:val="none" w:sz="0" w:space="0" w:color="auto"/>
      </w:divBdr>
    </w:div>
    <w:div w:id="174618861">
      <w:bodyDiv w:val="1"/>
      <w:marLeft w:val="0"/>
      <w:marRight w:val="0"/>
      <w:marTop w:val="0"/>
      <w:marBottom w:val="0"/>
      <w:divBdr>
        <w:top w:val="none" w:sz="0" w:space="0" w:color="auto"/>
        <w:left w:val="none" w:sz="0" w:space="0" w:color="auto"/>
        <w:bottom w:val="none" w:sz="0" w:space="0" w:color="auto"/>
        <w:right w:val="none" w:sz="0" w:space="0" w:color="auto"/>
      </w:divBdr>
    </w:div>
    <w:div w:id="281886265">
      <w:bodyDiv w:val="1"/>
      <w:marLeft w:val="0"/>
      <w:marRight w:val="0"/>
      <w:marTop w:val="0"/>
      <w:marBottom w:val="0"/>
      <w:divBdr>
        <w:top w:val="none" w:sz="0" w:space="0" w:color="auto"/>
        <w:left w:val="none" w:sz="0" w:space="0" w:color="auto"/>
        <w:bottom w:val="none" w:sz="0" w:space="0" w:color="auto"/>
        <w:right w:val="none" w:sz="0" w:space="0" w:color="auto"/>
      </w:divBdr>
    </w:div>
    <w:div w:id="422266162">
      <w:bodyDiv w:val="1"/>
      <w:marLeft w:val="0"/>
      <w:marRight w:val="0"/>
      <w:marTop w:val="0"/>
      <w:marBottom w:val="0"/>
      <w:divBdr>
        <w:top w:val="none" w:sz="0" w:space="0" w:color="auto"/>
        <w:left w:val="none" w:sz="0" w:space="0" w:color="auto"/>
        <w:bottom w:val="none" w:sz="0" w:space="0" w:color="auto"/>
        <w:right w:val="none" w:sz="0" w:space="0" w:color="auto"/>
      </w:divBdr>
    </w:div>
    <w:div w:id="433718057">
      <w:bodyDiv w:val="1"/>
      <w:marLeft w:val="0"/>
      <w:marRight w:val="0"/>
      <w:marTop w:val="0"/>
      <w:marBottom w:val="0"/>
      <w:divBdr>
        <w:top w:val="none" w:sz="0" w:space="0" w:color="auto"/>
        <w:left w:val="none" w:sz="0" w:space="0" w:color="auto"/>
        <w:bottom w:val="none" w:sz="0" w:space="0" w:color="auto"/>
        <w:right w:val="none" w:sz="0" w:space="0" w:color="auto"/>
      </w:divBdr>
    </w:div>
    <w:div w:id="434861832">
      <w:bodyDiv w:val="1"/>
      <w:marLeft w:val="0"/>
      <w:marRight w:val="0"/>
      <w:marTop w:val="0"/>
      <w:marBottom w:val="0"/>
      <w:divBdr>
        <w:top w:val="none" w:sz="0" w:space="0" w:color="auto"/>
        <w:left w:val="none" w:sz="0" w:space="0" w:color="auto"/>
        <w:bottom w:val="none" w:sz="0" w:space="0" w:color="auto"/>
        <w:right w:val="none" w:sz="0" w:space="0" w:color="auto"/>
      </w:divBdr>
    </w:div>
    <w:div w:id="537470553">
      <w:bodyDiv w:val="1"/>
      <w:marLeft w:val="0"/>
      <w:marRight w:val="0"/>
      <w:marTop w:val="0"/>
      <w:marBottom w:val="0"/>
      <w:divBdr>
        <w:top w:val="none" w:sz="0" w:space="0" w:color="auto"/>
        <w:left w:val="none" w:sz="0" w:space="0" w:color="auto"/>
        <w:bottom w:val="none" w:sz="0" w:space="0" w:color="auto"/>
        <w:right w:val="none" w:sz="0" w:space="0" w:color="auto"/>
      </w:divBdr>
    </w:div>
    <w:div w:id="582418514">
      <w:bodyDiv w:val="1"/>
      <w:marLeft w:val="0"/>
      <w:marRight w:val="0"/>
      <w:marTop w:val="0"/>
      <w:marBottom w:val="0"/>
      <w:divBdr>
        <w:top w:val="none" w:sz="0" w:space="0" w:color="auto"/>
        <w:left w:val="none" w:sz="0" w:space="0" w:color="auto"/>
        <w:bottom w:val="none" w:sz="0" w:space="0" w:color="auto"/>
        <w:right w:val="none" w:sz="0" w:space="0" w:color="auto"/>
      </w:divBdr>
    </w:div>
    <w:div w:id="591008417">
      <w:bodyDiv w:val="1"/>
      <w:marLeft w:val="0"/>
      <w:marRight w:val="0"/>
      <w:marTop w:val="0"/>
      <w:marBottom w:val="0"/>
      <w:divBdr>
        <w:top w:val="none" w:sz="0" w:space="0" w:color="auto"/>
        <w:left w:val="none" w:sz="0" w:space="0" w:color="auto"/>
        <w:bottom w:val="none" w:sz="0" w:space="0" w:color="auto"/>
        <w:right w:val="none" w:sz="0" w:space="0" w:color="auto"/>
      </w:divBdr>
    </w:div>
    <w:div w:id="594167483">
      <w:bodyDiv w:val="1"/>
      <w:marLeft w:val="0"/>
      <w:marRight w:val="0"/>
      <w:marTop w:val="0"/>
      <w:marBottom w:val="0"/>
      <w:divBdr>
        <w:top w:val="none" w:sz="0" w:space="0" w:color="auto"/>
        <w:left w:val="none" w:sz="0" w:space="0" w:color="auto"/>
        <w:bottom w:val="none" w:sz="0" w:space="0" w:color="auto"/>
        <w:right w:val="none" w:sz="0" w:space="0" w:color="auto"/>
      </w:divBdr>
      <w:divsChild>
        <w:div w:id="1132603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1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79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258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4236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839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08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63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1462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1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7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353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03611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5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25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31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534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717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3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3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3444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45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07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45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8999480">
      <w:bodyDiv w:val="1"/>
      <w:marLeft w:val="0"/>
      <w:marRight w:val="0"/>
      <w:marTop w:val="0"/>
      <w:marBottom w:val="0"/>
      <w:divBdr>
        <w:top w:val="none" w:sz="0" w:space="0" w:color="auto"/>
        <w:left w:val="none" w:sz="0" w:space="0" w:color="auto"/>
        <w:bottom w:val="none" w:sz="0" w:space="0" w:color="auto"/>
        <w:right w:val="none" w:sz="0" w:space="0" w:color="auto"/>
      </w:divBdr>
    </w:div>
    <w:div w:id="768544069">
      <w:bodyDiv w:val="1"/>
      <w:marLeft w:val="0"/>
      <w:marRight w:val="0"/>
      <w:marTop w:val="0"/>
      <w:marBottom w:val="0"/>
      <w:divBdr>
        <w:top w:val="none" w:sz="0" w:space="0" w:color="auto"/>
        <w:left w:val="none" w:sz="0" w:space="0" w:color="auto"/>
        <w:bottom w:val="none" w:sz="0" w:space="0" w:color="auto"/>
        <w:right w:val="none" w:sz="0" w:space="0" w:color="auto"/>
      </w:divBdr>
    </w:div>
    <w:div w:id="802311815">
      <w:bodyDiv w:val="1"/>
      <w:marLeft w:val="0"/>
      <w:marRight w:val="0"/>
      <w:marTop w:val="0"/>
      <w:marBottom w:val="0"/>
      <w:divBdr>
        <w:top w:val="none" w:sz="0" w:space="0" w:color="auto"/>
        <w:left w:val="none" w:sz="0" w:space="0" w:color="auto"/>
        <w:bottom w:val="none" w:sz="0" w:space="0" w:color="auto"/>
        <w:right w:val="none" w:sz="0" w:space="0" w:color="auto"/>
      </w:divBdr>
    </w:div>
    <w:div w:id="993336096">
      <w:bodyDiv w:val="1"/>
      <w:marLeft w:val="0"/>
      <w:marRight w:val="0"/>
      <w:marTop w:val="0"/>
      <w:marBottom w:val="0"/>
      <w:divBdr>
        <w:top w:val="none" w:sz="0" w:space="0" w:color="auto"/>
        <w:left w:val="none" w:sz="0" w:space="0" w:color="auto"/>
        <w:bottom w:val="none" w:sz="0" w:space="0" w:color="auto"/>
        <w:right w:val="none" w:sz="0" w:space="0" w:color="auto"/>
      </w:divBdr>
    </w:div>
    <w:div w:id="1138691942">
      <w:bodyDiv w:val="1"/>
      <w:marLeft w:val="0"/>
      <w:marRight w:val="0"/>
      <w:marTop w:val="0"/>
      <w:marBottom w:val="0"/>
      <w:divBdr>
        <w:top w:val="none" w:sz="0" w:space="0" w:color="auto"/>
        <w:left w:val="none" w:sz="0" w:space="0" w:color="auto"/>
        <w:bottom w:val="none" w:sz="0" w:space="0" w:color="auto"/>
        <w:right w:val="none" w:sz="0" w:space="0" w:color="auto"/>
      </w:divBdr>
    </w:div>
    <w:div w:id="1288122698">
      <w:bodyDiv w:val="1"/>
      <w:marLeft w:val="0"/>
      <w:marRight w:val="0"/>
      <w:marTop w:val="0"/>
      <w:marBottom w:val="0"/>
      <w:divBdr>
        <w:top w:val="none" w:sz="0" w:space="0" w:color="auto"/>
        <w:left w:val="none" w:sz="0" w:space="0" w:color="auto"/>
        <w:bottom w:val="none" w:sz="0" w:space="0" w:color="auto"/>
        <w:right w:val="none" w:sz="0" w:space="0" w:color="auto"/>
      </w:divBdr>
    </w:div>
    <w:div w:id="1350639635">
      <w:bodyDiv w:val="1"/>
      <w:marLeft w:val="0"/>
      <w:marRight w:val="0"/>
      <w:marTop w:val="0"/>
      <w:marBottom w:val="0"/>
      <w:divBdr>
        <w:top w:val="none" w:sz="0" w:space="0" w:color="auto"/>
        <w:left w:val="none" w:sz="0" w:space="0" w:color="auto"/>
        <w:bottom w:val="none" w:sz="0" w:space="0" w:color="auto"/>
        <w:right w:val="none" w:sz="0" w:space="0" w:color="auto"/>
      </w:divBdr>
    </w:div>
    <w:div w:id="1359090277">
      <w:bodyDiv w:val="1"/>
      <w:marLeft w:val="0"/>
      <w:marRight w:val="0"/>
      <w:marTop w:val="0"/>
      <w:marBottom w:val="0"/>
      <w:divBdr>
        <w:top w:val="none" w:sz="0" w:space="0" w:color="auto"/>
        <w:left w:val="none" w:sz="0" w:space="0" w:color="auto"/>
        <w:bottom w:val="none" w:sz="0" w:space="0" w:color="auto"/>
        <w:right w:val="none" w:sz="0" w:space="0" w:color="auto"/>
      </w:divBdr>
    </w:div>
    <w:div w:id="1511719972">
      <w:bodyDiv w:val="1"/>
      <w:marLeft w:val="0"/>
      <w:marRight w:val="0"/>
      <w:marTop w:val="0"/>
      <w:marBottom w:val="0"/>
      <w:divBdr>
        <w:top w:val="none" w:sz="0" w:space="0" w:color="auto"/>
        <w:left w:val="none" w:sz="0" w:space="0" w:color="auto"/>
        <w:bottom w:val="none" w:sz="0" w:space="0" w:color="auto"/>
        <w:right w:val="none" w:sz="0" w:space="0" w:color="auto"/>
      </w:divBdr>
    </w:div>
    <w:div w:id="1654069169">
      <w:bodyDiv w:val="1"/>
      <w:marLeft w:val="0"/>
      <w:marRight w:val="0"/>
      <w:marTop w:val="0"/>
      <w:marBottom w:val="0"/>
      <w:divBdr>
        <w:top w:val="none" w:sz="0" w:space="0" w:color="auto"/>
        <w:left w:val="none" w:sz="0" w:space="0" w:color="auto"/>
        <w:bottom w:val="none" w:sz="0" w:space="0" w:color="auto"/>
        <w:right w:val="none" w:sz="0" w:space="0" w:color="auto"/>
      </w:divBdr>
    </w:div>
    <w:div w:id="1976834620">
      <w:bodyDiv w:val="1"/>
      <w:marLeft w:val="0"/>
      <w:marRight w:val="0"/>
      <w:marTop w:val="0"/>
      <w:marBottom w:val="0"/>
      <w:divBdr>
        <w:top w:val="none" w:sz="0" w:space="0" w:color="auto"/>
        <w:left w:val="none" w:sz="0" w:space="0" w:color="auto"/>
        <w:bottom w:val="none" w:sz="0" w:space="0" w:color="auto"/>
        <w:right w:val="none" w:sz="0" w:space="0" w:color="auto"/>
      </w:divBdr>
    </w:div>
    <w:div w:id="2100170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3292</Characters>
  <Application>Microsoft Office Word</Application>
  <DocSecurity>0</DocSecurity>
  <Lines>27</Lines>
  <Paragraphs>7</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Comunicato Stampa</vt:lpstr>
      <vt:lpstr>Comunicato Stampa</vt:lpstr>
    </vt:vector>
  </TitlesOfParts>
  <Company>Hewlett-Packard Company</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Nome utente</dc:creator>
  <cp:keywords/>
  <cp:lastModifiedBy>Patrizia Menicucci</cp:lastModifiedBy>
  <cp:revision>2</cp:revision>
  <cp:lastPrinted>2019-04-02T08:55:00Z</cp:lastPrinted>
  <dcterms:created xsi:type="dcterms:W3CDTF">2022-04-26T10:49:00Z</dcterms:created>
  <dcterms:modified xsi:type="dcterms:W3CDTF">2022-04-26T10:49:00Z</dcterms:modified>
</cp:coreProperties>
</file>